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10FB" w:rsidRPr="00645B4A" w:rsidRDefault="00133D64" w:rsidP="00645B4A">
      <w:r w:rsidRPr="00645B4A">
        <w:t>Canoni e storie della letteratura nell’età della globalizzazione</w:t>
      </w:r>
    </w:p>
    <w:p w:rsidR="00133D64" w:rsidRPr="00645B4A" w:rsidRDefault="00133D64" w:rsidP="00645B4A">
      <w:pPr>
        <w:rPr>
          <w:rFonts w:ascii="Times New Roman" w:hAnsi="Times New Roman" w:cs="Times New Roman"/>
          <w:b w:val="0"/>
          <w:sz w:val="22"/>
        </w:rPr>
      </w:pPr>
      <w:r w:rsidRPr="00645B4A">
        <w:rPr>
          <w:rFonts w:ascii="Times New Roman" w:hAnsi="Times New Roman" w:cs="Times New Roman"/>
          <w:b w:val="0"/>
          <w:sz w:val="22"/>
        </w:rPr>
        <w:t>Di Angelo Porcaro</w:t>
      </w:r>
      <w:r w:rsidR="00A82869" w:rsidRPr="00645B4A">
        <w:rPr>
          <w:rFonts w:ascii="Times New Roman" w:hAnsi="Times New Roman" w:cs="Times New Roman"/>
          <w:b w:val="0"/>
          <w:sz w:val="22"/>
        </w:rPr>
        <w:t xml:space="preserve">, </w:t>
      </w:r>
      <w:r w:rsidRPr="00645B4A">
        <w:rPr>
          <w:rFonts w:ascii="Times New Roman" w:hAnsi="Times New Roman" w:cs="Times New Roman"/>
          <w:b w:val="0"/>
          <w:sz w:val="22"/>
        </w:rPr>
        <w:t xml:space="preserve">docente di materie letterarie e Latino presso il Liceo Scientifico Statale </w:t>
      </w:r>
    </w:p>
    <w:p w:rsidR="00A82869" w:rsidRPr="00645B4A" w:rsidRDefault="00A82869" w:rsidP="00645B4A">
      <w:pPr>
        <w:rPr>
          <w:rFonts w:ascii="Times New Roman" w:hAnsi="Times New Roman" w:cs="Times New Roman"/>
          <w:b w:val="0"/>
          <w:sz w:val="22"/>
        </w:rPr>
      </w:pPr>
    </w:p>
    <w:p w:rsidR="00645B4A" w:rsidRDefault="00133D64" w:rsidP="00645B4A">
      <w:pPr>
        <w:rPr>
          <w:rFonts w:ascii="Times New Roman" w:hAnsi="Times New Roman" w:cs="Times New Roman"/>
          <w:b w:val="0"/>
          <w:sz w:val="22"/>
        </w:rPr>
      </w:pPr>
      <w:r w:rsidRPr="00645B4A">
        <w:rPr>
          <w:rFonts w:ascii="Times New Roman" w:hAnsi="Times New Roman" w:cs="Times New Roman"/>
          <w:b w:val="0"/>
          <w:sz w:val="22"/>
        </w:rPr>
        <w:t xml:space="preserve">Finché la situazione culturale è statica, non si avverte il bisogno di rimettere in discussione il canone, ossia la lista dei libri considerati indispensabili per la formazione scolastica e in senso più ampio per la società civile di una nazione. </w:t>
      </w:r>
      <w:r w:rsidRPr="00645B4A">
        <w:rPr>
          <w:rFonts w:ascii="Times New Roman" w:hAnsi="Times New Roman" w:cs="Times New Roman"/>
          <w:b w:val="0"/>
          <w:spacing w:val="-8"/>
          <w:sz w:val="22"/>
        </w:rPr>
        <w:t xml:space="preserve">Viceversa, tanto più si è portati a interrogarsi sul canone quanto più si vive in un momento di crisi e di disorientamento, ove l’uomo di lettere non è più il tradizionale </w:t>
      </w:r>
      <w:proofErr w:type="spellStart"/>
      <w:r w:rsidRPr="00645B4A">
        <w:rPr>
          <w:rFonts w:ascii="Times New Roman" w:hAnsi="Times New Roman" w:cs="Times New Roman"/>
          <w:b w:val="0"/>
          <w:i/>
          <w:spacing w:val="-8"/>
          <w:sz w:val="22"/>
        </w:rPr>
        <w:t>maitre</w:t>
      </w:r>
      <w:proofErr w:type="spellEnd"/>
      <w:r w:rsidRPr="00645B4A">
        <w:rPr>
          <w:rFonts w:ascii="Times New Roman" w:hAnsi="Times New Roman" w:cs="Times New Roman"/>
          <w:b w:val="0"/>
          <w:i/>
          <w:spacing w:val="-8"/>
          <w:sz w:val="22"/>
        </w:rPr>
        <w:t xml:space="preserve"> à </w:t>
      </w:r>
      <w:proofErr w:type="spellStart"/>
      <w:r w:rsidRPr="00645B4A">
        <w:rPr>
          <w:rFonts w:ascii="Times New Roman" w:hAnsi="Times New Roman" w:cs="Times New Roman"/>
          <w:b w:val="0"/>
          <w:i/>
          <w:spacing w:val="-8"/>
          <w:sz w:val="22"/>
        </w:rPr>
        <w:t>penser</w:t>
      </w:r>
      <w:proofErr w:type="spellEnd"/>
      <w:r w:rsidRPr="00645B4A">
        <w:rPr>
          <w:rFonts w:ascii="Times New Roman" w:hAnsi="Times New Roman" w:cs="Times New Roman"/>
          <w:b w:val="0"/>
          <w:spacing w:val="-8"/>
          <w:sz w:val="22"/>
        </w:rPr>
        <w:t>, rimpiazzato in quest’ufficio da sociologi, da politologi o da semiologi tuttofare</w:t>
      </w:r>
      <w:r w:rsidRPr="00645B4A">
        <w:rPr>
          <w:rFonts w:ascii="Times New Roman" w:hAnsi="Times New Roman" w:cs="Times New Roman"/>
          <w:b w:val="0"/>
          <w:sz w:val="22"/>
        </w:rPr>
        <w:t>.</w:t>
      </w:r>
    </w:p>
    <w:p w:rsidR="00133D64" w:rsidRPr="00645B4A" w:rsidRDefault="00133D64" w:rsidP="00645B4A">
      <w:pPr>
        <w:rPr>
          <w:rFonts w:ascii="Times New Roman" w:hAnsi="Times New Roman" w:cs="Times New Roman"/>
          <w:b w:val="0"/>
          <w:sz w:val="22"/>
        </w:rPr>
      </w:pPr>
      <w:bookmarkStart w:id="0" w:name="_GoBack"/>
      <w:bookmarkEnd w:id="0"/>
      <w:r w:rsidRPr="00645B4A">
        <w:rPr>
          <w:rFonts w:ascii="Times New Roman" w:hAnsi="Times New Roman" w:cs="Times New Roman"/>
          <w:b w:val="0"/>
          <w:sz w:val="22"/>
        </w:rPr>
        <w:t xml:space="preserve">Oggi dunque la questione del canone si trova stretta tra due opposti pericoli: quello  del  dogmatismo e  quello  del nichilismo.  Nel </w:t>
      </w:r>
      <w:proofErr w:type="gramStart"/>
      <w:r w:rsidRPr="00645B4A">
        <w:rPr>
          <w:rFonts w:ascii="Times New Roman" w:hAnsi="Times New Roman" w:cs="Times New Roman"/>
          <w:b w:val="0"/>
          <w:sz w:val="22"/>
        </w:rPr>
        <w:t>primo  caso</w:t>
      </w:r>
      <w:proofErr w:type="gramEnd"/>
      <w:r w:rsidR="00A82869" w:rsidRPr="00645B4A">
        <w:rPr>
          <w:rFonts w:ascii="Times New Roman" w:hAnsi="Times New Roman" w:cs="Times New Roman"/>
          <w:b w:val="0"/>
          <w:sz w:val="22"/>
        </w:rPr>
        <w:t xml:space="preserve"> </w:t>
      </w:r>
      <w:r w:rsidRPr="00645B4A">
        <w:rPr>
          <w:rFonts w:ascii="Times New Roman" w:hAnsi="Times New Roman" w:cs="Times New Roman"/>
          <w:b w:val="0"/>
          <w:sz w:val="22"/>
        </w:rPr>
        <w:t>si assegna alle opere letterarie un valore eterno e assoluto, dimenticandosi che anche il canone è il r</w:t>
      </w:r>
      <w:r w:rsidR="005F5F46" w:rsidRPr="00645B4A">
        <w:rPr>
          <w:rFonts w:ascii="Times New Roman" w:hAnsi="Times New Roman" w:cs="Times New Roman"/>
          <w:b w:val="0"/>
          <w:sz w:val="22"/>
        </w:rPr>
        <w:t>isultato di una dialettica che</w:t>
      </w:r>
      <w:r w:rsidRPr="00645B4A">
        <w:rPr>
          <w:rFonts w:ascii="Times New Roman" w:hAnsi="Times New Roman" w:cs="Times New Roman"/>
          <w:b w:val="0"/>
          <w:sz w:val="22"/>
        </w:rPr>
        <w:t xml:space="preserve"> risente dei mutamenti e delle contingenze della storicità. Nel secondo caso ci si perde in un immenso e indifferenziato territorio nel quale si smarrisce la natura stessa dell’oggetto letterario. </w:t>
      </w:r>
      <w:r w:rsidR="005F5F46" w:rsidRPr="00645B4A">
        <w:rPr>
          <w:rFonts w:ascii="Times New Roman" w:hAnsi="Times New Roman" w:cs="Times New Roman"/>
          <w:b w:val="0"/>
          <w:sz w:val="22"/>
        </w:rPr>
        <w:t>S</w:t>
      </w:r>
      <w:r w:rsidRPr="00645B4A">
        <w:rPr>
          <w:rFonts w:ascii="Times New Roman" w:hAnsi="Times New Roman" w:cs="Times New Roman"/>
          <w:b w:val="0"/>
          <w:sz w:val="22"/>
        </w:rPr>
        <w:t xml:space="preserve">oprattutto dinanzi alla difficoltà di stabilire un canone per il Novecento, </w:t>
      </w:r>
      <w:r w:rsidR="005F5F46" w:rsidRPr="00645B4A">
        <w:rPr>
          <w:rFonts w:ascii="Times New Roman" w:hAnsi="Times New Roman" w:cs="Times New Roman"/>
          <w:b w:val="0"/>
          <w:sz w:val="22"/>
        </w:rPr>
        <w:t>c’è chi</w:t>
      </w:r>
      <w:r w:rsidRPr="00645B4A">
        <w:rPr>
          <w:rFonts w:ascii="Times New Roman" w:hAnsi="Times New Roman" w:cs="Times New Roman"/>
          <w:b w:val="0"/>
          <w:sz w:val="22"/>
        </w:rPr>
        <w:t xml:space="preserve"> dichiara l’impossibilità di canonizzare la contemporaneità</w:t>
      </w:r>
      <w:r w:rsidR="005F5F46" w:rsidRPr="00645B4A">
        <w:rPr>
          <w:rFonts w:ascii="Times New Roman" w:hAnsi="Times New Roman" w:cs="Times New Roman"/>
          <w:b w:val="0"/>
          <w:sz w:val="22"/>
        </w:rPr>
        <w:t>: però</w:t>
      </w:r>
      <w:r w:rsidRPr="00645B4A">
        <w:rPr>
          <w:rFonts w:ascii="Times New Roman" w:hAnsi="Times New Roman" w:cs="Times New Roman"/>
          <w:b w:val="0"/>
          <w:sz w:val="22"/>
        </w:rPr>
        <w:t xml:space="preserve"> la scuola</w:t>
      </w:r>
      <w:r w:rsidR="005F5F46" w:rsidRPr="00645B4A">
        <w:rPr>
          <w:rFonts w:ascii="Times New Roman" w:hAnsi="Times New Roman" w:cs="Times New Roman"/>
          <w:b w:val="0"/>
          <w:sz w:val="22"/>
        </w:rPr>
        <w:t xml:space="preserve">, e più in generale l’istruzione, </w:t>
      </w:r>
      <w:r w:rsidRPr="00645B4A">
        <w:rPr>
          <w:rFonts w:ascii="Times New Roman" w:hAnsi="Times New Roman" w:cs="Times New Roman"/>
          <w:b w:val="0"/>
          <w:sz w:val="22"/>
        </w:rPr>
        <w:t xml:space="preserve">hanno bisogno di punti di riferimento. Abbandonarle all’arbitrio e alla casualità significa cedere alla omologazione di massa, fino a degradare la letteratura al livello infimo del </w:t>
      </w:r>
      <w:proofErr w:type="spellStart"/>
      <w:r w:rsidRPr="00645B4A">
        <w:rPr>
          <w:rFonts w:ascii="Times New Roman" w:hAnsi="Times New Roman" w:cs="Times New Roman"/>
          <w:b w:val="0"/>
          <w:i/>
          <w:sz w:val="22"/>
        </w:rPr>
        <w:t>melting</w:t>
      </w:r>
      <w:proofErr w:type="spellEnd"/>
      <w:r w:rsidRPr="00645B4A">
        <w:rPr>
          <w:rFonts w:ascii="Times New Roman" w:hAnsi="Times New Roman" w:cs="Times New Roman"/>
          <w:b w:val="0"/>
          <w:i/>
          <w:sz w:val="22"/>
        </w:rPr>
        <w:t xml:space="preserve"> </w:t>
      </w:r>
      <w:proofErr w:type="spellStart"/>
      <w:r w:rsidRPr="00645B4A">
        <w:rPr>
          <w:rFonts w:ascii="Times New Roman" w:hAnsi="Times New Roman" w:cs="Times New Roman"/>
          <w:b w:val="0"/>
          <w:i/>
          <w:sz w:val="22"/>
        </w:rPr>
        <w:t>pot</w:t>
      </w:r>
      <w:proofErr w:type="spellEnd"/>
      <w:r w:rsidRPr="00645B4A">
        <w:rPr>
          <w:rFonts w:ascii="Times New Roman" w:hAnsi="Times New Roman" w:cs="Times New Roman"/>
          <w:b w:val="0"/>
          <w:sz w:val="22"/>
        </w:rPr>
        <w:t xml:space="preserve"> indiffere</w:t>
      </w:r>
      <w:r w:rsidR="005F5F46" w:rsidRPr="00645B4A">
        <w:rPr>
          <w:rFonts w:ascii="Times New Roman" w:hAnsi="Times New Roman" w:cs="Times New Roman"/>
          <w:b w:val="0"/>
          <w:sz w:val="22"/>
        </w:rPr>
        <w:t>nziato dei messaggi televisivi.</w:t>
      </w:r>
    </w:p>
    <w:p w:rsidR="00133D64" w:rsidRPr="00645B4A" w:rsidRDefault="005F5F46" w:rsidP="00645B4A">
      <w:pPr>
        <w:rPr>
          <w:rFonts w:ascii="Times New Roman" w:hAnsi="Times New Roman" w:cs="Times New Roman"/>
          <w:b w:val="0"/>
          <w:sz w:val="22"/>
        </w:rPr>
      </w:pPr>
      <w:r w:rsidRPr="00645B4A">
        <w:rPr>
          <w:rFonts w:ascii="Times New Roman" w:hAnsi="Times New Roman" w:cs="Times New Roman"/>
          <w:b w:val="0"/>
          <w:sz w:val="22"/>
        </w:rPr>
        <w:t>A</w:t>
      </w:r>
      <w:r w:rsidR="00133D64" w:rsidRPr="00645B4A">
        <w:rPr>
          <w:rFonts w:ascii="Times New Roman" w:hAnsi="Times New Roman" w:cs="Times New Roman"/>
          <w:b w:val="0"/>
          <w:sz w:val="22"/>
        </w:rPr>
        <w:t>i giorni nostri la letteratura ha ridotto o addirittura perduto la sua autorevolezza civile e non è più in grado</w:t>
      </w:r>
      <w:r w:rsidRPr="00645B4A">
        <w:rPr>
          <w:rFonts w:ascii="Times New Roman" w:hAnsi="Times New Roman" w:cs="Times New Roman"/>
          <w:b w:val="0"/>
          <w:sz w:val="22"/>
        </w:rPr>
        <w:t xml:space="preserve"> </w:t>
      </w:r>
      <w:r w:rsidR="00133D64" w:rsidRPr="00645B4A">
        <w:rPr>
          <w:rFonts w:ascii="Times New Roman" w:hAnsi="Times New Roman" w:cs="Times New Roman"/>
          <w:b w:val="0"/>
          <w:sz w:val="22"/>
        </w:rPr>
        <w:t xml:space="preserve">di imporre i suoi valori attraverso un prestigio condiviso. Semmai la situazione </w:t>
      </w:r>
      <w:r w:rsidRPr="00645B4A">
        <w:rPr>
          <w:rFonts w:ascii="Times New Roman" w:hAnsi="Times New Roman" w:cs="Times New Roman"/>
          <w:b w:val="0"/>
          <w:sz w:val="22"/>
        </w:rPr>
        <w:t>v</w:t>
      </w:r>
      <w:r w:rsidR="00133D64" w:rsidRPr="00645B4A">
        <w:rPr>
          <w:rFonts w:ascii="Times New Roman" w:hAnsi="Times New Roman" w:cs="Times New Roman"/>
          <w:b w:val="0"/>
          <w:sz w:val="22"/>
        </w:rPr>
        <w:t xml:space="preserve">orrebbe che ci si mettesse nella prospettiva dell’integrazione </w:t>
      </w:r>
      <w:r w:rsidRPr="00645B4A">
        <w:rPr>
          <w:rFonts w:ascii="Times New Roman" w:hAnsi="Times New Roman" w:cs="Times New Roman"/>
          <w:b w:val="0"/>
          <w:sz w:val="22"/>
        </w:rPr>
        <w:t xml:space="preserve">europea, per la consapevolezza </w:t>
      </w:r>
      <w:r w:rsidR="00133D64" w:rsidRPr="00645B4A">
        <w:rPr>
          <w:rFonts w:ascii="Times New Roman" w:hAnsi="Times New Roman" w:cs="Times New Roman"/>
          <w:b w:val="0"/>
          <w:sz w:val="22"/>
        </w:rPr>
        <w:t>dell’esistenza di un canone occidentale</w:t>
      </w:r>
      <w:r w:rsidRPr="00645B4A">
        <w:rPr>
          <w:rFonts w:ascii="Times New Roman" w:hAnsi="Times New Roman" w:cs="Times New Roman"/>
          <w:b w:val="0"/>
          <w:sz w:val="22"/>
        </w:rPr>
        <w:t>,</w:t>
      </w:r>
      <w:r w:rsidR="00133D64" w:rsidRPr="00645B4A">
        <w:rPr>
          <w:rFonts w:ascii="Times New Roman" w:hAnsi="Times New Roman" w:cs="Times New Roman"/>
          <w:b w:val="0"/>
          <w:sz w:val="22"/>
        </w:rPr>
        <w:t xml:space="preserve"> un ideale canone che trascende i confini nazionali. A questo punto sorge però la necessità di selezionare e ridurre la consistenza delle precedenti soluzioni, rinunciando in partenza alla pretesa di non tralasciare alcunché. </w:t>
      </w:r>
    </w:p>
    <w:p w:rsidR="005F5F46" w:rsidRPr="00645B4A" w:rsidRDefault="00133D64" w:rsidP="00645B4A">
      <w:pPr>
        <w:rPr>
          <w:rFonts w:ascii="Times New Roman" w:hAnsi="Times New Roman" w:cs="Times New Roman"/>
          <w:b w:val="0"/>
          <w:sz w:val="22"/>
        </w:rPr>
      </w:pPr>
      <w:r w:rsidRPr="00645B4A">
        <w:rPr>
          <w:rFonts w:ascii="Times New Roman" w:hAnsi="Times New Roman" w:cs="Times New Roman"/>
          <w:b w:val="0"/>
          <w:sz w:val="22"/>
        </w:rPr>
        <w:t xml:space="preserve">Ormai però si è capito che il canone, per quanto ambisca a essere una totalità, esige che «l’elezione di un oggetto alla fama perenne spesso porta con sé la cancellazione di un altro oggetto». </w:t>
      </w:r>
      <w:r w:rsidR="005F5F46" w:rsidRPr="00645B4A">
        <w:rPr>
          <w:rFonts w:ascii="Times New Roman" w:hAnsi="Times New Roman" w:cs="Times New Roman"/>
          <w:b w:val="0"/>
          <w:sz w:val="22"/>
        </w:rPr>
        <w:t>S</w:t>
      </w:r>
      <w:r w:rsidRPr="00645B4A">
        <w:rPr>
          <w:rFonts w:ascii="Times New Roman" w:hAnsi="Times New Roman" w:cs="Times New Roman"/>
          <w:b w:val="0"/>
          <w:sz w:val="22"/>
        </w:rPr>
        <w:t>ostiene Claudio Magris che «la vera letteratura non è quella che lusinga il lettore, confermandolo nei suoi pregiudizi e nelle sue sicurezze, bensì quella che lo incalza e lo pone in difficoltà, che lo costringe a rifare i conti con il suo mondo e con le sue certezze»</w:t>
      </w:r>
      <w:r w:rsidR="005F5F46" w:rsidRPr="00645B4A">
        <w:rPr>
          <w:rFonts w:ascii="Times New Roman" w:hAnsi="Times New Roman" w:cs="Times New Roman"/>
          <w:b w:val="0"/>
          <w:sz w:val="22"/>
        </w:rPr>
        <w:t>.</w:t>
      </w:r>
    </w:p>
    <w:p w:rsidR="00133D64" w:rsidRPr="00645B4A" w:rsidRDefault="00133D64" w:rsidP="00645B4A">
      <w:pPr>
        <w:rPr>
          <w:rFonts w:ascii="Times New Roman" w:hAnsi="Times New Roman" w:cs="Times New Roman"/>
          <w:b w:val="0"/>
          <w:sz w:val="22"/>
        </w:rPr>
      </w:pPr>
      <w:r w:rsidRPr="00645B4A">
        <w:rPr>
          <w:rFonts w:ascii="Times New Roman" w:hAnsi="Times New Roman" w:cs="Times New Roman"/>
          <w:b w:val="0"/>
          <w:sz w:val="22"/>
        </w:rPr>
        <w:t>Ciò che rende forse unico il tipo d’insegnamento italiano della letteratura è</w:t>
      </w:r>
      <w:r w:rsidR="00FD19BC" w:rsidRPr="00645B4A">
        <w:rPr>
          <w:rFonts w:ascii="Times New Roman" w:hAnsi="Times New Roman" w:cs="Times New Roman"/>
          <w:b w:val="0"/>
          <w:sz w:val="22"/>
        </w:rPr>
        <w:t xml:space="preserve"> </w:t>
      </w:r>
      <w:r w:rsidRPr="00645B4A">
        <w:rPr>
          <w:rFonts w:ascii="Times New Roman" w:hAnsi="Times New Roman" w:cs="Times New Roman"/>
          <w:b w:val="0"/>
          <w:sz w:val="22"/>
        </w:rPr>
        <w:t>la consuetudine di abbinare lo studio diretto degli scrittori con la conoscenza di un manuale di storia letteraria per collegare o suturare gli interstizi tra un testo e l’altro e per dare il senso dello spessore temporale, mettendo a confronto, anche in senso oppositivo, gli autori, le loro poetiche, i movimenti culturali, le istituzioni entro cui si alimenta e si fruisce la letteratura e che volta a volta possono essere la corte, le accademie, le università, gli ordini religiosi, i teatri, i caffè, i salotti, le biblioteche, i per</w:t>
      </w:r>
      <w:r w:rsidR="00FD19BC" w:rsidRPr="00645B4A">
        <w:rPr>
          <w:rFonts w:ascii="Times New Roman" w:hAnsi="Times New Roman" w:cs="Times New Roman"/>
          <w:b w:val="0"/>
          <w:sz w:val="22"/>
        </w:rPr>
        <w:t>iodici, l’industria editoriale.</w:t>
      </w:r>
    </w:p>
    <w:p w:rsidR="00133D64" w:rsidRPr="00645B4A" w:rsidRDefault="00133D64" w:rsidP="00645B4A">
      <w:pPr>
        <w:rPr>
          <w:rFonts w:ascii="Times New Roman" w:hAnsi="Times New Roman" w:cs="Times New Roman"/>
          <w:b w:val="0"/>
          <w:sz w:val="22"/>
        </w:rPr>
      </w:pPr>
      <w:r w:rsidRPr="00645B4A">
        <w:rPr>
          <w:rFonts w:ascii="Times New Roman" w:hAnsi="Times New Roman" w:cs="Times New Roman"/>
          <w:b w:val="0"/>
          <w:sz w:val="22"/>
        </w:rPr>
        <w:t xml:space="preserve">«Nessun libro è un’isola», ed è quindi inevitabile trascorrere dal singolo testo alla serie, agli altri appartenenti allo stesso genere letterario, e poi ancora alle altre opere della stessa epoca storica, alle poetiche, ai movimenti contemporanei, a quelli che li hanno preceduti e che lo seguiranno. La conoscenza della storia letteraria consente di avere degli assi temporali di riferimento, una griglia entro cui collocare un’opera. Il capolavoro ha sempre alle spalle una pletora di opere che dal confronto ne fanno risaltare ancora di più la grandezza. </w:t>
      </w:r>
      <w:r w:rsidRPr="00645B4A">
        <w:rPr>
          <w:rFonts w:ascii="Times New Roman" w:hAnsi="Times New Roman" w:cs="Times New Roman"/>
          <w:b w:val="0"/>
          <w:i/>
          <w:sz w:val="22"/>
        </w:rPr>
        <w:t xml:space="preserve">I </w:t>
      </w:r>
      <w:r w:rsidRPr="00645B4A">
        <w:rPr>
          <w:rFonts w:ascii="Times New Roman" w:hAnsi="Times New Roman" w:cs="Times New Roman"/>
          <w:b w:val="0"/>
          <w:i/>
          <w:iCs/>
          <w:sz w:val="22"/>
        </w:rPr>
        <w:t xml:space="preserve">Promessi Sposi </w:t>
      </w:r>
      <w:r w:rsidRPr="00645B4A">
        <w:rPr>
          <w:rFonts w:ascii="Times New Roman" w:hAnsi="Times New Roman" w:cs="Times New Roman"/>
          <w:b w:val="0"/>
          <w:sz w:val="22"/>
        </w:rPr>
        <w:t xml:space="preserve">non si comprendono adeguatamente se non si conosce la moda ottocentesca del romanzo storico e la tipologia di questo genere letterario. Il canone è l’insieme dei «monumenti», ai quali non si può rinunciare; la costruzione di una storia letteraria è l’insieme dei «documenti», del corredo complementare e integrativo che non merita di essere studiato con lo stesso sguardo ravvicinato, ma che con la sua sintesi spiega perché siano potuti nascere quei monumenti tuttora indispensabili e al tempo stesso perché altri prodotti siano stati esclusi. Ecco come l’eccezionalità viene inserita in un reticolo che la rapporta al sistema e alle sue stratificazioni diacroniche. </w:t>
      </w:r>
    </w:p>
    <w:p w:rsidR="000910FB" w:rsidRPr="00645B4A" w:rsidRDefault="00133D64" w:rsidP="00645B4A">
      <w:pPr>
        <w:rPr>
          <w:rFonts w:ascii="Times New Roman" w:hAnsi="Times New Roman" w:cs="Times New Roman"/>
          <w:b w:val="0"/>
          <w:sz w:val="22"/>
        </w:rPr>
      </w:pPr>
      <w:r w:rsidRPr="00645B4A">
        <w:rPr>
          <w:rFonts w:ascii="Times New Roman" w:hAnsi="Times New Roman" w:cs="Times New Roman"/>
          <w:b w:val="0"/>
          <w:sz w:val="22"/>
        </w:rPr>
        <w:t xml:space="preserve">Immerse o annegate nella virtualità del Web elettronico, le giovani generazioni di oggi vivono in un presente senza spessore. La storia letteraria soddisfa il bisogno di memoria, aiuta a comprendere che dietro la contemporaneità </w:t>
      </w:r>
      <w:r w:rsidR="000910FB" w:rsidRPr="00645B4A">
        <w:rPr>
          <w:rFonts w:ascii="Times New Roman" w:hAnsi="Times New Roman" w:cs="Times New Roman"/>
          <w:b w:val="0"/>
          <w:sz w:val="22"/>
        </w:rPr>
        <w:t xml:space="preserve">c’è </w:t>
      </w:r>
      <w:r w:rsidRPr="00645B4A">
        <w:rPr>
          <w:rFonts w:ascii="Times New Roman" w:hAnsi="Times New Roman" w:cs="Times New Roman"/>
          <w:b w:val="0"/>
          <w:sz w:val="22"/>
        </w:rPr>
        <w:t xml:space="preserve">«un filo rosso, un’idea-guida o idea-forza, un itinerario che, come il corso di un fiume, dia senso allo scorrere delle onde, grandi e piccole». All’immagine pacifica del «filo» diventa allora più naturale preferire quello complementare del «labirinto», come ha proposto Cesare Segre, il quale però si premura subito di precisare che «se noi cerchiamo di raddrizzarlo e ridurlo a un andamento lineare, noi lo distruggiamo». </w:t>
      </w:r>
      <w:r w:rsidRPr="00645B4A">
        <w:rPr>
          <w:rFonts w:ascii="Times New Roman" w:hAnsi="Times New Roman" w:cs="Times New Roman"/>
          <w:b w:val="0"/>
          <w:spacing w:val="-6"/>
          <w:sz w:val="22"/>
        </w:rPr>
        <w:t xml:space="preserve">Attraverso la storia letteraria il canone è inserito organicamente nella dinamica di una civiltà di cui riflette i costumi e l’ideologia, deducibili non solo sul piano della produzione delle opere ma anche su quello della loro ricezione. È evidente che la sua formazione non si deve soltanto alle scelte dei lettori di professione, ossia dei critici, ma anche al filtro di altre entità che nel tempo hanno reso sempre più intricato l’atto della canonizzazione. Anche solo la </w:t>
      </w:r>
      <w:proofErr w:type="spellStart"/>
      <w:r w:rsidRPr="00645B4A">
        <w:rPr>
          <w:rFonts w:ascii="Times New Roman" w:hAnsi="Times New Roman" w:cs="Times New Roman"/>
          <w:b w:val="0"/>
          <w:spacing w:val="-6"/>
          <w:sz w:val="22"/>
        </w:rPr>
        <w:t>LIZ</w:t>
      </w:r>
      <w:proofErr w:type="spellEnd"/>
      <w:r w:rsidRPr="00645B4A">
        <w:rPr>
          <w:rFonts w:ascii="Times New Roman" w:hAnsi="Times New Roman" w:cs="Times New Roman"/>
          <w:b w:val="0"/>
          <w:spacing w:val="-6"/>
          <w:sz w:val="22"/>
        </w:rPr>
        <w:t xml:space="preserve"> (</w:t>
      </w:r>
      <w:r w:rsidRPr="00645B4A">
        <w:rPr>
          <w:rFonts w:ascii="Times New Roman" w:hAnsi="Times New Roman" w:cs="Times New Roman"/>
          <w:b w:val="0"/>
          <w:i/>
          <w:iCs/>
          <w:spacing w:val="-6"/>
          <w:sz w:val="22"/>
        </w:rPr>
        <w:t>Letteratura Italiana Zanichelli</w:t>
      </w:r>
      <w:r w:rsidRPr="00645B4A">
        <w:rPr>
          <w:rFonts w:ascii="Times New Roman" w:hAnsi="Times New Roman" w:cs="Times New Roman"/>
          <w:b w:val="0"/>
          <w:spacing w:val="-6"/>
          <w:sz w:val="22"/>
        </w:rPr>
        <w:t xml:space="preserve">), il primo </w:t>
      </w:r>
      <w:r w:rsidRPr="00645B4A">
        <w:rPr>
          <w:rFonts w:ascii="Times New Roman" w:hAnsi="Times New Roman" w:cs="Times New Roman"/>
          <w:b w:val="0"/>
          <w:i/>
          <w:iCs/>
          <w:spacing w:val="-6"/>
          <w:sz w:val="22"/>
        </w:rPr>
        <w:t xml:space="preserve">corpus </w:t>
      </w:r>
      <w:r w:rsidRPr="00645B4A">
        <w:rPr>
          <w:rFonts w:ascii="Times New Roman" w:hAnsi="Times New Roman" w:cs="Times New Roman"/>
          <w:b w:val="0"/>
          <w:spacing w:val="-6"/>
          <w:sz w:val="22"/>
        </w:rPr>
        <w:t>elettronico della letteratura italiana, è arrivata nella sua ultima versione a includere mille testi, con la sola esclusione delle opere ancora soggette ai diritti d’autore. Appare così ancora più evidente che un’operazione aggiuntiva non può essere automatica, ma che è da ripensare dalle fondamenta l’intero sistema letterario. Soluzioni immediate non se ne vedono; tutt’al più, si possono suggerire delle proposte, alla luce del quadro non certo esaltante che fin qui si è cercato di esporre. Si potrebbero intanto ipotizzare canoni plurimi e alternativi, secondo una scelta di percorsi di letture per blocchi rappresentativi, in sé organici, ma realisticamente ridotti. In questo modo è forse possibile inculcare il senso del valore sempre relativo dei canoni, dovuto anche all’intervento di un tipo di memoria diverso da quello fino a oggi impiegato nella nostra scuola, almeno nelle intenzioni di chi ha preparato i canoni. Per colmare i vuoti prodotti dall’inevitabile selezione, si potrebbe poi integrare la lettura dei testi canonici con il profilo sintetico di una storia letteraria, la cui utilità consiste nel fungere da raccordo tra un testo e l’altro, nel formare la coscienza della stratificazione temporale dei fenomeni letterari e nel fare acquisire il senso di relazioni aperte e conflittuali tra le varie scelte, condizionate da un più ampio contesto culturale, sociale ed economico.</w:t>
      </w:r>
    </w:p>
    <w:sectPr w:rsidR="000910FB" w:rsidRPr="00645B4A" w:rsidSect="00645B4A">
      <w:pgSz w:w="11906" w:h="16838"/>
      <w:pgMar w:top="568" w:right="720" w:bottom="142"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D64"/>
    <w:rsid w:val="000910FB"/>
    <w:rsid w:val="00114F32"/>
    <w:rsid w:val="00133D64"/>
    <w:rsid w:val="005F5F46"/>
    <w:rsid w:val="00645B4A"/>
    <w:rsid w:val="007939AE"/>
    <w:rsid w:val="007C6197"/>
    <w:rsid w:val="009E04A7"/>
    <w:rsid w:val="00A82869"/>
    <w:rsid w:val="00F9366A"/>
    <w:rsid w:val="00FD19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E8606B-834D-4993-8D56-D18404A19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autoRedefine/>
    <w:qFormat/>
    <w:rsid w:val="00645B4A"/>
    <w:pPr>
      <w:spacing w:after="0" w:line="240" w:lineRule="auto"/>
      <w:ind w:right="134"/>
      <w:jc w:val="both"/>
    </w:pPr>
    <w:rPr>
      <w:rFonts w:ascii="Arial" w:hAnsi="Arial" w:cs="Arial"/>
      <w:b/>
      <w:bCs/>
      <w:color w:val="000000" w:themeColor="text1"/>
      <w:sz w:val="24"/>
      <w:szCs w:val="24"/>
      <w:lang w:eastAsia="it-IT"/>
    </w:rPr>
  </w:style>
  <w:style w:type="paragraph" w:styleId="Titolo2">
    <w:name w:val="heading 2"/>
    <w:basedOn w:val="Normale"/>
    <w:next w:val="Normale"/>
    <w:link w:val="Titolo2Carattere"/>
    <w:autoRedefine/>
    <w:qFormat/>
    <w:rsid w:val="00114F32"/>
    <w:pPr>
      <w:keepNext/>
      <w:spacing w:before="120" w:after="80"/>
      <w:outlineLvl w:val="1"/>
    </w:pPr>
    <w:rPr>
      <w:b w:val="0"/>
      <w:bCs w:val="0"/>
      <w:iCs/>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Titolo2"/>
    <w:next w:val="Normale"/>
    <w:link w:val="TitoloCarattere"/>
    <w:autoRedefine/>
    <w:qFormat/>
    <w:rsid w:val="00114F32"/>
    <w:rPr>
      <w:rFonts w:asciiTheme="minorHAnsi" w:hAnsiTheme="minorHAnsi" w:cstheme="minorBidi"/>
      <w:b/>
      <w:bCs/>
      <w:iCs w:val="0"/>
      <w:sz w:val="36"/>
      <w:szCs w:val="36"/>
    </w:rPr>
  </w:style>
  <w:style w:type="character" w:customStyle="1" w:styleId="TitoloCarattere">
    <w:name w:val="Titolo Carattere"/>
    <w:link w:val="Titolo"/>
    <w:rsid w:val="00114F32"/>
    <w:rPr>
      <w:b/>
      <w:bCs/>
      <w:iCs/>
      <w:sz w:val="36"/>
      <w:szCs w:val="36"/>
    </w:rPr>
  </w:style>
  <w:style w:type="character" w:customStyle="1" w:styleId="Titolo2Carattere">
    <w:name w:val="Titolo 2 Carattere"/>
    <w:link w:val="Titolo2"/>
    <w:rsid w:val="00114F32"/>
    <w:rPr>
      <w:rFonts w:ascii="Arial" w:hAnsi="Arial" w:cs="Arial"/>
      <w:b/>
      <w:bCs/>
      <w:iCs/>
      <w:szCs w:val="28"/>
    </w:rPr>
  </w:style>
  <w:style w:type="character" w:styleId="Collegamentoipertestuale">
    <w:name w:val="Hyperlink"/>
    <w:basedOn w:val="Carpredefinitoparagrafo"/>
    <w:uiPriority w:val="99"/>
    <w:semiHidden/>
    <w:unhideWhenUsed/>
    <w:rsid w:val="00133D64"/>
    <w:rPr>
      <w:color w:val="0000FF"/>
      <w:u w:val="single"/>
    </w:rPr>
  </w:style>
  <w:style w:type="character" w:customStyle="1" w:styleId="grame">
    <w:name w:val="grame"/>
    <w:basedOn w:val="Carpredefinitoparagrafo"/>
    <w:rsid w:val="00133D64"/>
  </w:style>
  <w:style w:type="paragraph" w:styleId="Corpotesto">
    <w:name w:val="Body Text"/>
    <w:basedOn w:val="Normale"/>
    <w:link w:val="CorpotestoCarattere"/>
    <w:uiPriority w:val="99"/>
    <w:semiHidden/>
    <w:unhideWhenUsed/>
    <w:rsid w:val="00133D64"/>
    <w:pPr>
      <w:spacing w:before="100" w:beforeAutospacing="1" w:after="100" w:afterAutospacing="1"/>
    </w:pPr>
    <w:rPr>
      <w:rFonts w:ascii="Times New Roman" w:hAnsi="Times New Roman"/>
      <w:color w:val="auto"/>
    </w:rPr>
  </w:style>
  <w:style w:type="character" w:customStyle="1" w:styleId="CorpotestoCarattere">
    <w:name w:val="Corpo testo Carattere"/>
    <w:basedOn w:val="Carpredefinitoparagrafo"/>
    <w:link w:val="Corpotesto"/>
    <w:uiPriority w:val="99"/>
    <w:semiHidden/>
    <w:rsid w:val="00133D64"/>
    <w:rPr>
      <w:rFonts w:ascii="Times New Roman" w:hAnsi="Times New Roman" w:cs="Times New Roman"/>
      <w:sz w:val="24"/>
      <w:szCs w:val="24"/>
      <w:lang w:eastAsia="it-IT"/>
    </w:rPr>
  </w:style>
  <w:style w:type="character" w:customStyle="1" w:styleId="spelle">
    <w:name w:val="spelle"/>
    <w:basedOn w:val="Carpredefinitoparagrafo"/>
    <w:rsid w:val="00133D64"/>
  </w:style>
  <w:style w:type="character" w:styleId="Rimandonotadichiusura">
    <w:name w:val="endnote reference"/>
    <w:basedOn w:val="Carpredefinitoparagrafo"/>
    <w:uiPriority w:val="99"/>
    <w:semiHidden/>
    <w:unhideWhenUsed/>
    <w:rsid w:val="00133D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741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1057</Words>
  <Characters>6031</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Company>
  <LinksUpToDate>false</LinksUpToDate>
  <CharactersWithSpaces>7074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Pietro Sarzana</dc:creator>
  <cp:keywords/>
  <dc:description/>
  <cp:lastModifiedBy>Pietro Sarzana</cp:lastModifiedBy>
  <cp:revision>6</cp:revision>
  <dcterms:created xsi:type="dcterms:W3CDTF">2015-03-19T17:05:00Z</dcterms:created>
  <dcterms:modified xsi:type="dcterms:W3CDTF">2015-03-23T11:11:00Z</dcterms:modified>
</cp:coreProperties>
</file>